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3ECB" w14:textId="7190B63A" w:rsidR="006F56BF" w:rsidRPr="006F56BF" w:rsidRDefault="006F56BF" w:rsidP="006F56BF">
      <w:pPr>
        <w:jc w:val="both"/>
        <w:rPr>
          <w:rFonts w:ascii="Century Gothic" w:hAnsi="Century Gothic"/>
        </w:rPr>
      </w:pPr>
      <w:r w:rsidRPr="006F56BF">
        <w:rPr>
          <w:rFonts w:ascii="Century Gothic" w:hAnsi="Century Gothic"/>
          <w:sz w:val="23"/>
          <w:szCs w:val="23"/>
        </w:rPr>
        <w:t>L’Azienda Speciale ai sensi dell’art.114, comma 8 lettera d) D.lgs. 267/2000 ha predisposto il seguente piano degli indicatori del bilancio d’esercizio consuntivo che dimostrano la solidità patrimoniale e finanziaria dell’Azienda unità ad una sufficiente redditività, la cui massimizzazione, per la natura pubblica dell’ente, non rappresenta lo scopo aziendale.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1276"/>
        <w:gridCol w:w="1276"/>
      </w:tblGrid>
      <w:tr w:rsidR="006F56BF" w14:paraId="0628AE7D" w14:textId="77777777" w:rsidTr="006F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  <w:jc w:val="center"/>
        </w:trPr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A5D11" w14:textId="76600EAB" w:rsidR="006F56BF" w:rsidRPr="00FF370F" w:rsidRDefault="006F56BF" w:rsidP="006F56BF">
            <w:pPr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FF370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INDICI PATRIMONIALI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134DC" w14:textId="3F7E720B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5B40A" w14:textId="576677CD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gridSpan w:val="0"/>
          </w:tcPr>
          <w:p w14:paraId="0628AE7D" w14:textId="77777777" w:rsidR="006F56BF" w:rsidRDefault="006F56BF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F56BF" w14:paraId="21CA6BB0" w14:textId="77777777" w:rsidTr="006F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  <w:jc w:val="center"/>
        </w:trPr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9DEC5" w14:textId="77777777" w:rsidR="006F56BF" w:rsidRDefault="006F56BF" w:rsidP="006F56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 xml:space="preserve"> Indice di Immobilizzo </w:t>
            </w:r>
          </w:p>
          <w:p w14:paraId="61BAB67E" w14:textId="28C3D54E" w:rsidR="006F56BF" w:rsidRPr="006F56BF" w:rsidRDefault="006F56BF" w:rsidP="006F56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(Immobilizzazioni / Attivo totale)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7EBBF" w14:textId="04599486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66,41%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BCE6A" w14:textId="4ED9CE75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73,82%</w:t>
            </w:r>
          </w:p>
        </w:tc>
        <w:tc>
          <w:tcPr>
            <w:gridSpan w:val="0"/>
          </w:tcPr>
          <w:p w14:paraId="21CA6BB0" w14:textId="77777777" w:rsidR="006F56BF" w:rsidRDefault="006F56BF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F56BF" w14:paraId="7139A370" w14:textId="77777777" w:rsidTr="006F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D05BA" w14:textId="77777777" w:rsidR="006F56BF" w:rsidRDefault="006F56BF" w:rsidP="006F56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 xml:space="preserve"> Indice di copertura delle immobilizzazioni </w:t>
            </w:r>
          </w:p>
          <w:p w14:paraId="6700F6C9" w14:textId="13716ABC" w:rsidR="006F56BF" w:rsidRPr="006F56BF" w:rsidRDefault="006F56BF" w:rsidP="006F56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(Mezzi propri / Immobilizzazioni nette)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85DD4" w14:textId="61664704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401,48%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45B90" w14:textId="65C23284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377,43%</w:t>
            </w:r>
          </w:p>
        </w:tc>
        <w:tc>
          <w:tcPr>
            <w:gridSpan w:val="0"/>
          </w:tcPr>
          <w:p w14:paraId="7139A370" w14:textId="77777777" w:rsidR="006F56BF" w:rsidRDefault="006F56BF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F56BF" w14:paraId="2BC8B0F2" w14:textId="77777777" w:rsidTr="006F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  <w:jc w:val="center"/>
        </w:trPr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BF0A0" w14:textId="77777777" w:rsidR="006F56BF" w:rsidRPr="00FF370F" w:rsidRDefault="006F56BF" w:rsidP="006F56BF">
            <w:pPr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FF370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INDICI LIQUIDITA'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B1C8A" w14:textId="62B06100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2C1FB" w14:textId="6B63398D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gridSpan w:val="0"/>
          </w:tcPr>
          <w:p w14:paraId="2BC8B0F2" w14:textId="77777777" w:rsidR="006F56BF" w:rsidRDefault="006F56BF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F56BF" w14:paraId="28349E3C" w14:textId="77777777" w:rsidTr="006F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  <w:jc w:val="center"/>
        </w:trPr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8DABC" w14:textId="77777777" w:rsidR="006F56BF" w:rsidRDefault="006F56BF" w:rsidP="006F56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 xml:space="preserve"> Liquidità primaria immediata </w:t>
            </w:r>
          </w:p>
          <w:p w14:paraId="4D390A02" w14:textId="5A221C95" w:rsidR="006F56BF" w:rsidRPr="006F56BF" w:rsidRDefault="006F56BF" w:rsidP="006F56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(Liquidità immediate / Passività correnti)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1BD41" w14:textId="1BA31C2E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100,15%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627E1" w14:textId="609E27A5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124,20%</w:t>
            </w:r>
          </w:p>
        </w:tc>
        <w:tc>
          <w:tcPr>
            <w:gridSpan w:val="0"/>
          </w:tcPr>
          <w:p w14:paraId="28349E3C" w14:textId="77777777" w:rsidR="006F56BF" w:rsidRDefault="006F56BF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F56BF" w14:paraId="118AFDFC" w14:textId="77777777" w:rsidTr="006F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  <w:jc w:val="center"/>
        </w:trPr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04DAA" w14:textId="77777777" w:rsidR="006F56BF" w:rsidRDefault="006F56BF" w:rsidP="006F56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 xml:space="preserve"> Liquidità secondaria </w:t>
            </w:r>
          </w:p>
          <w:p w14:paraId="78C9A85E" w14:textId="62EAA56D" w:rsidR="006F56BF" w:rsidRPr="006F56BF" w:rsidRDefault="006F56BF" w:rsidP="006F56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(Attività correnti / Passività correnti)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D1728" w14:textId="46D98AF4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337,16%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E40DC" w14:textId="032AC01C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396,44%</w:t>
            </w:r>
          </w:p>
        </w:tc>
        <w:tc>
          <w:tcPr>
            <w:gridSpan w:val="0"/>
          </w:tcPr>
          <w:p w14:paraId="118AFDFC" w14:textId="77777777" w:rsidR="006F56BF" w:rsidRDefault="006F56BF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F56BF" w14:paraId="11BF0BAA" w14:textId="77777777" w:rsidTr="006F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  <w:jc w:val="center"/>
        </w:trPr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4B6CB" w14:textId="77777777" w:rsidR="006F56BF" w:rsidRDefault="006F56BF" w:rsidP="006F56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 xml:space="preserve"> Indice di indipendenza finanziaria </w:t>
            </w:r>
          </w:p>
          <w:p w14:paraId="34CB36E1" w14:textId="622DFBD5" w:rsidR="006F56BF" w:rsidRPr="006F56BF" w:rsidRDefault="006F56BF" w:rsidP="006F56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(Mezzi propri / Impieghi totali netti)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52A7B" w14:textId="3F2FFC20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28,76%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B9B3C" w14:textId="1C233AE3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28,95%</w:t>
            </w:r>
          </w:p>
        </w:tc>
        <w:tc>
          <w:tcPr>
            <w:gridSpan w:val="0"/>
          </w:tcPr>
          <w:p w14:paraId="11BF0BAA" w14:textId="77777777" w:rsidR="006F56BF" w:rsidRDefault="006F56BF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F56BF" w14:paraId="18630690" w14:textId="77777777" w:rsidTr="006F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  <w:jc w:val="center"/>
        </w:trPr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578A6" w14:textId="77777777" w:rsidR="006F56BF" w:rsidRDefault="006F56BF" w:rsidP="006F56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 xml:space="preserve"> Indice di indebitamento </w:t>
            </w:r>
          </w:p>
          <w:p w14:paraId="5E208BC9" w14:textId="69770499" w:rsidR="006F56BF" w:rsidRPr="006F56BF" w:rsidRDefault="006F56BF" w:rsidP="006F56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(Mezzi di terzi / Mezzi propri)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F91F0" w14:textId="4E573FF9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247,65%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E5798" w14:textId="5EF50739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245,39%</w:t>
            </w:r>
          </w:p>
        </w:tc>
        <w:tc>
          <w:tcPr>
            <w:gridSpan w:val="0"/>
          </w:tcPr>
          <w:p w14:paraId="18630690" w14:textId="77777777" w:rsidR="006F56BF" w:rsidRDefault="006F56BF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F56BF" w14:paraId="011D6DB7" w14:textId="77777777" w:rsidTr="006F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  <w:jc w:val="center"/>
        </w:trPr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0E76A" w14:textId="77777777" w:rsidR="006F56BF" w:rsidRPr="00FF370F" w:rsidRDefault="006F56BF" w:rsidP="006F56BF">
            <w:pPr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FF370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INDICI REDDITIVITA'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AAEEB" w14:textId="4F717B52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525F0" w14:textId="1AE2C1DA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gridSpan w:val="0"/>
          </w:tcPr>
          <w:p w14:paraId="011D6DB7" w14:textId="77777777" w:rsidR="006F56BF" w:rsidRDefault="006F56BF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F56BF" w14:paraId="5BC2EC28" w14:textId="77777777" w:rsidTr="006F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  <w:jc w:val="center"/>
        </w:trPr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4101C" w14:textId="77777777" w:rsidR="006F56BF" w:rsidRDefault="006F56BF" w:rsidP="006F56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 xml:space="preserve"> Reddittività del capitale investito (ROI) </w:t>
            </w:r>
          </w:p>
          <w:p w14:paraId="6106ACF7" w14:textId="564F34AE" w:rsidR="00FF370F" w:rsidRPr="006F56BF" w:rsidRDefault="00FF370F" w:rsidP="006F56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370F">
              <w:rPr>
                <w:rFonts w:ascii="Times New Roman" w:hAnsi="Times New Roman" w:cs="Times New Roman"/>
                <w:sz w:val="23"/>
                <w:szCs w:val="23"/>
              </w:rPr>
              <w:t>(Risultato operativo / Capitale investito)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6755E" w14:textId="3E3857D3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3,02%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18332" w14:textId="6DABB02B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5,59%</w:t>
            </w:r>
          </w:p>
        </w:tc>
        <w:tc>
          <w:tcPr>
            <w:gridSpan w:val="0"/>
          </w:tcPr>
          <w:p w14:paraId="5BC2EC28" w14:textId="77777777" w:rsidR="006F56BF" w:rsidRDefault="006F56BF"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F56BF" w14:paraId="3680896C" w14:textId="77777777" w:rsidTr="006F56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  <w:jc w:val="center"/>
        </w:trPr>
        <w:tc>
          <w:tcPr>
            <w:tcW w:w="4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3CEA4" w14:textId="77777777" w:rsidR="006F56BF" w:rsidRPr="006F56BF" w:rsidRDefault="006F56BF" w:rsidP="006F56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 xml:space="preserve"> Reddittività dei mezzi propri (</w:t>
            </w:r>
            <w:proofErr w:type="spellStart"/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ROE</w:t>
            </w:r>
            <w:proofErr w:type="spellEnd"/>
            <w:r w:rsidRPr="006F56BF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  <w:p w14:paraId="7833C6E9" w14:textId="663BBC8F" w:rsidR="006F56BF" w:rsidRPr="006F56BF" w:rsidRDefault="006F56BF" w:rsidP="006F56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 xml:space="preserve">Reddito netto / Mezzi propri iniziali) 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2DD7D" w14:textId="00F36B13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4,98%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8068F" w14:textId="0A05EA23" w:rsidR="006F56BF" w:rsidRPr="006F56BF" w:rsidRDefault="006F56BF" w:rsidP="00FF37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56BF">
              <w:rPr>
                <w:rFonts w:ascii="Times New Roman" w:hAnsi="Times New Roman" w:cs="Times New Roman"/>
                <w:sz w:val="23"/>
                <w:szCs w:val="23"/>
              </w:rPr>
              <w:t>14,56</w:t>
            </w:r>
          </w:p>
        </w:tc>
        <w:tc>
          <w:tcPr>
            <w:gridSpan w:val="0"/>
          </w:tcPr>
          <w:p w14:paraId="3680896C" w14:textId="77777777" w:rsidR="006F56BF" w:rsidRDefault="006F56BF"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1AC3F3CE" w14:textId="77777777" w:rsidR="006F56BF" w:rsidRDefault="006F56BF"/>
    <w:sectPr w:rsidR="006F56B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CBA7" w14:textId="77777777" w:rsidR="006F56BF" w:rsidRDefault="006F56BF" w:rsidP="006F56BF">
      <w:pPr>
        <w:spacing w:after="0" w:line="240" w:lineRule="auto"/>
      </w:pPr>
      <w:r>
        <w:separator/>
      </w:r>
    </w:p>
  </w:endnote>
  <w:endnote w:type="continuationSeparator" w:id="0">
    <w:p w14:paraId="0957B0CB" w14:textId="77777777" w:rsidR="006F56BF" w:rsidRDefault="006F56BF" w:rsidP="006F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98B7" w14:textId="77777777" w:rsidR="006F56BF" w:rsidRDefault="006F56BF" w:rsidP="006F56BF">
      <w:pPr>
        <w:spacing w:after="0" w:line="240" w:lineRule="auto"/>
      </w:pPr>
      <w:r>
        <w:separator/>
      </w:r>
    </w:p>
  </w:footnote>
  <w:footnote w:type="continuationSeparator" w:id="0">
    <w:p w14:paraId="0A9EC446" w14:textId="77777777" w:rsidR="006F56BF" w:rsidRDefault="006F56BF" w:rsidP="006F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D2CA" w14:textId="72463B07" w:rsidR="00FF370F" w:rsidRDefault="00FF370F" w:rsidP="00FF370F">
    <w:pPr>
      <w:pStyle w:val="Intestazione"/>
      <w:jc w:val="center"/>
    </w:pPr>
    <w:r>
      <w:rPr>
        <w:noProof/>
      </w:rPr>
      <w:drawing>
        <wp:inline distT="0" distB="0" distL="0" distR="0" wp14:anchorId="0B536246" wp14:editId="31EED9F4">
          <wp:extent cx="215900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BF"/>
    <w:rsid w:val="006F56BF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4F18E"/>
  <w15:chartTrackingRefBased/>
  <w15:docId w15:val="{EBE56818-E7AD-4269-A3A7-A4AB5A9E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56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F56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6BF"/>
  </w:style>
  <w:style w:type="paragraph" w:styleId="Pidipagina">
    <w:name w:val="footer"/>
    <w:basedOn w:val="Normale"/>
    <w:link w:val="PidipaginaCarattere"/>
    <w:uiPriority w:val="99"/>
    <w:unhideWhenUsed/>
    <w:rsid w:val="006F56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2022-05-27T10:02:00Z</dcterms:created>
  <dcterms:modified xsi:type="dcterms:W3CDTF">2022-05-27T10:12:00Z</dcterms:modified>
</cp:coreProperties>
</file>